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E9" w:rsidRDefault="00410D3A">
      <w:pPr>
        <w:spacing w:after="6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2063 FAKULTET ORGANIZACIJE I INFORMATIKE U VARAŽDINU</w:t>
      </w:r>
    </w:p>
    <w:p w:rsidR="00D947E9" w:rsidRDefault="00410D3A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947E9" w:rsidRDefault="00410D3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OPĆEG DIJELA FINANCIJSKOG PLANA</w:t>
      </w:r>
    </w:p>
    <w:p w:rsidR="00D947E9" w:rsidRDefault="00D947E9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zh-CN"/>
        </w:rPr>
        <w:t>Financijski plan napravljen je u skladu s Uputama</w:t>
      </w:r>
      <w:r>
        <w:rPr>
          <w:rFonts w:ascii="Times New Roman" w:hAnsi="Times New Roman"/>
          <w:sz w:val="24"/>
          <w:szCs w:val="24"/>
        </w:rPr>
        <w:t xml:space="preserve"> za izradu  i dostavu prijedloga financijskih planova proračunskih korisnika razdjela 080 – Ministarstvo znanosti i obrazovanja za razdoblje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– 202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., dostavljenih od strane Ministarstva znanosti i obrazovanja te prema limitima (za redovnu djelatnost,</w:t>
      </w:r>
      <w:r>
        <w:rPr>
          <w:rFonts w:ascii="Times New Roman" w:hAnsi="Times New Roman"/>
          <w:sz w:val="24"/>
          <w:szCs w:val="24"/>
        </w:rPr>
        <w:t xml:space="preserve"> programsko financiranje javnih visokih učilišta, program vježbaonica visokih učilišta) dostavljenih od Sveučilišta u Zagrebu</w:t>
      </w:r>
      <w:r>
        <w:rPr>
          <w:rFonts w:ascii="Times New Roman" w:hAnsi="Times New Roman"/>
          <w:sz w:val="24"/>
          <w:szCs w:val="24"/>
          <w:lang w:val="zh-CN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947E9" w:rsidRDefault="00D947E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Planiranje u financijskom planu provodimo prema novčanom načelu koje se razlikuje od načela nastanka događaja temeljem kojeg </w:t>
      </w:r>
      <w:r>
        <w:rPr>
          <w:rFonts w:ascii="Times New Roman" w:hAnsi="Times New Roman"/>
          <w:sz w:val="24"/>
          <w:szCs w:val="24"/>
        </w:rPr>
        <w:t>se evidentiraju sve poslovne promjene rashodovne strane u financijskoj godini dok se prihodi evidentiraju kada su uplaćeni.</w:t>
      </w:r>
    </w:p>
    <w:p w:rsidR="00D947E9" w:rsidRDefault="00D947E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vremenskom periodu (202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.-202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.) na koje se ovaj financijski plan odnosi postoji mogućnost da će doći do realizaci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projekta „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ntar za </w:t>
      </w:r>
      <w:proofErr w:type="spellStart"/>
      <w:r>
        <w:rPr>
          <w:rFonts w:ascii="Times New Roman" w:hAnsi="Times New Roman"/>
          <w:sz w:val="24"/>
          <w:szCs w:val="24"/>
        </w:rPr>
        <w:t>predinkubaciju</w:t>
      </w:r>
      <w:proofErr w:type="spellEnd"/>
      <w:r>
        <w:rPr>
          <w:rFonts w:ascii="Times New Roman" w:hAnsi="Times New Roman"/>
          <w:sz w:val="24"/>
          <w:szCs w:val="24"/>
        </w:rPr>
        <w:t xml:space="preserve">“, u skladu s čime će se pojaviti veća investicijska ulaganja koja će se prikazati kroz promjenu (rebalans) plana. </w:t>
      </w:r>
    </w:p>
    <w:p w:rsidR="00D947E9" w:rsidRDefault="00D947E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zh-CN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PRIHODI I PRIMICI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planirani prihodi za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iznose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263634">
        <w:rPr>
          <w:rFonts w:ascii="Times New Roman" w:hAnsi="Times New Roman"/>
          <w:sz w:val="24"/>
          <w:szCs w:val="24"/>
        </w:rPr>
        <w:t>267.068</w:t>
      </w:r>
      <w:r>
        <w:rPr>
          <w:rFonts w:ascii="Times New Roman" w:hAnsi="Times New Roman"/>
          <w:sz w:val="24"/>
          <w:szCs w:val="24"/>
        </w:rPr>
        <w:t xml:space="preserve"> € od čega se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263634">
        <w:rPr>
          <w:rFonts w:ascii="Times New Roman" w:hAnsi="Times New Roman"/>
          <w:sz w:val="24"/>
          <w:szCs w:val="24"/>
        </w:rPr>
        <w:t>266.709</w:t>
      </w:r>
      <w:r>
        <w:rPr>
          <w:rFonts w:ascii="Times New Roman" w:hAnsi="Times New Roman"/>
          <w:sz w:val="24"/>
          <w:szCs w:val="24"/>
        </w:rPr>
        <w:t xml:space="preserve"> € odnosi na opće prihode poslovanja, dok se </w:t>
      </w:r>
      <w:r w:rsidR="00263634">
        <w:rPr>
          <w:rFonts w:ascii="Times New Roman" w:hAnsi="Times New Roman"/>
          <w:sz w:val="24"/>
          <w:szCs w:val="24"/>
        </w:rPr>
        <w:t>359</w:t>
      </w:r>
      <w:r>
        <w:rPr>
          <w:rFonts w:ascii="Times New Roman" w:hAnsi="Times New Roman"/>
          <w:sz w:val="24"/>
          <w:szCs w:val="24"/>
        </w:rPr>
        <w:t xml:space="preserve"> € prihoda planira od nefinancijske imovine. 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prihodi poslovanja planirani su iz izvora 11 (opći prihodi i primici), izvora 31 (vlastiti prihodi), izvora 43 (prihodi za posebne namjene) te izvora 61 (</w:t>
      </w:r>
      <w:r>
        <w:rPr>
          <w:rFonts w:ascii="Times New Roman" w:hAnsi="Times New Roman"/>
          <w:sz w:val="24"/>
          <w:szCs w:val="24"/>
        </w:rPr>
        <w:t xml:space="preserve">donacije) dok se prihodi od nefinancijske imovine planiraju sa izvora 71 (prihodi od prodaje ili zamjene nefinancijske imovine i naknade štete s naslova osiguranja). Prihodi od EU projekata planiraju se iz izvora 51 (pomoći EU) te izvora 52 (ostale pomoći </w:t>
      </w:r>
      <w:r>
        <w:rPr>
          <w:rFonts w:ascii="Times New Roman" w:hAnsi="Times New Roman"/>
          <w:sz w:val="24"/>
          <w:szCs w:val="24"/>
        </w:rPr>
        <w:t>i darovnice).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Dinamika oko vrsta prihoda postoji eventualno oko njihovog postotka sudjelovanja u ukupni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prihodima, dakle eventualne promjene uslijed smanjenja ili povećanja. U planu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godinu i projekcijama 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i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godinu nema većih promje</w:t>
      </w:r>
      <w:r>
        <w:rPr>
          <w:rFonts w:ascii="Times New Roman" w:hAnsi="Times New Roman"/>
          <w:sz w:val="24"/>
        </w:rPr>
        <w:t>na osim prihoda za EU projekte kod kojih većina projekata završava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godine odnosno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godine pa se pojedini izvor financiranja smanjuje. Predviđamo da će </w:t>
      </w:r>
      <w:r>
        <w:rPr>
          <w:rFonts w:ascii="Times New Roman" w:hAnsi="Times New Roman"/>
          <w:sz w:val="24"/>
        </w:rPr>
        <w:t>ponovo</w:t>
      </w:r>
      <w:r>
        <w:rPr>
          <w:rFonts w:ascii="Times New Roman" w:hAnsi="Times New Roman"/>
          <w:sz w:val="24"/>
        </w:rPr>
        <w:t xml:space="preserve"> doći do povećanja pojedinih izvora EU projekata u narednim godinama nakon uspješnih i o</w:t>
      </w:r>
      <w:r>
        <w:rPr>
          <w:rFonts w:ascii="Times New Roman" w:hAnsi="Times New Roman"/>
          <w:sz w:val="24"/>
        </w:rPr>
        <w:t>dobrenih prijava.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Izvor 11</w:t>
      </w:r>
    </w:p>
    <w:p w:rsidR="00263634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iz izvora 11 planirani su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godinu u ukupnom iznosu od </w:t>
      </w:r>
      <w:bookmarkStart w:id="0" w:name="_Hlk115337888"/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995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149</w:t>
      </w:r>
      <w:r>
        <w:rPr>
          <w:rFonts w:ascii="Times New Roman" w:hAnsi="Times New Roman"/>
          <w:sz w:val="24"/>
        </w:rPr>
        <w:t xml:space="preserve"> € u skladu sa zadanim limitima dostavljenima od strane Ministarstva znanosti i obrazovanja odnosno Sveučilišta u Zagrebu</w:t>
      </w:r>
      <w:bookmarkEnd w:id="0"/>
      <w:r>
        <w:rPr>
          <w:rFonts w:ascii="Times New Roman" w:hAnsi="Times New Roman"/>
          <w:sz w:val="24"/>
        </w:rPr>
        <w:t xml:space="preserve">. </w:t>
      </w:r>
    </w:p>
    <w:p w:rsidR="00263634" w:rsidRDefault="00263634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263634" w:rsidRDefault="00263634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Nakon što je usvojeni državni proračun, bilo je potrebno uskladiti financijske planove pa tako prihodi iz izvora 11 planirani za 2025. godinu iznose 5.945.063 €, za 2026. godinu 5.995.073 € te za 2027. godinu 6.020.651 €.</w:t>
      </w:r>
    </w:p>
    <w:p w:rsidR="00263634" w:rsidRDefault="00263634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2025. godinu planirano </w:t>
      </w:r>
      <w:r>
        <w:rPr>
          <w:rFonts w:ascii="Times New Roman" w:hAnsi="Times New Roman"/>
          <w:sz w:val="24"/>
        </w:rPr>
        <w:t xml:space="preserve">je </w:t>
      </w:r>
      <w:r w:rsidR="00263634">
        <w:rPr>
          <w:rFonts w:ascii="Times New Roman" w:hAnsi="Times New Roman"/>
          <w:sz w:val="24"/>
        </w:rPr>
        <w:t>5.161.227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za redovnu aktivnost (plaće i dr.)</w:t>
      </w:r>
      <w:bookmarkStart w:id="1" w:name="_Hlk115337920"/>
      <w:r w:rsidR="00263634">
        <w:rPr>
          <w:rFonts w:ascii="Times New Roman" w:hAnsi="Times New Roman"/>
          <w:sz w:val="24"/>
        </w:rPr>
        <w:t>, a za 2026. i 2027. godinu planirano je povećanje prihoda za 0,49% u odnosu na prethodnu godinu.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za programsko financirane javnih visokih učil</w:t>
      </w:r>
      <w:r w:rsidR="00263634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šta iznose </w:t>
      </w:r>
      <w:r>
        <w:rPr>
          <w:rFonts w:ascii="Times New Roman" w:hAnsi="Times New Roman"/>
          <w:sz w:val="24"/>
        </w:rPr>
        <w:t>772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998</w:t>
      </w:r>
      <w:r>
        <w:rPr>
          <w:rFonts w:ascii="Times New Roman" w:hAnsi="Times New Roman"/>
          <w:sz w:val="24"/>
        </w:rPr>
        <w:t xml:space="preserve"> €. Prihodi su</w:t>
      </w:r>
      <w:r>
        <w:rPr>
          <w:rFonts w:ascii="Times New Roman" w:hAnsi="Times New Roman"/>
          <w:sz w:val="24"/>
        </w:rPr>
        <w:t xml:space="preserve"> temeljem limita zadanih od strane Sveučiliš</w:t>
      </w:r>
      <w:r>
        <w:rPr>
          <w:rFonts w:ascii="Times New Roman" w:hAnsi="Times New Roman"/>
          <w:sz w:val="24"/>
        </w:rPr>
        <w:t>ta,</w:t>
      </w:r>
      <w:r>
        <w:rPr>
          <w:rFonts w:ascii="Times New Roman" w:hAnsi="Times New Roman"/>
          <w:sz w:val="24"/>
        </w:rPr>
        <w:t xml:space="preserve"> planirani </w:t>
      </w:r>
      <w:r>
        <w:rPr>
          <w:rFonts w:ascii="Times New Roman" w:hAnsi="Times New Roman"/>
          <w:sz w:val="24"/>
        </w:rPr>
        <w:t xml:space="preserve">za 6.742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manje u odnosu na plan za 2024</w:t>
      </w:r>
      <w:r>
        <w:rPr>
          <w:rFonts w:ascii="Times New Roman" w:hAnsi="Times New Roman"/>
          <w:sz w:val="24"/>
        </w:rPr>
        <w:t>. godinu, dok su projekcije plana 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 w:rsidR="00263634">
        <w:rPr>
          <w:rFonts w:ascii="Times New Roman" w:hAnsi="Times New Roman"/>
          <w:sz w:val="24"/>
        </w:rPr>
        <w:t>povećane za 3,19% u odnosu na 2025. Projekcija plana za 2027. je veća za 0,02% od projekcije za 2026. godinu.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Prihode za programe vježbaonica visokih učilišta planiraju se na razini od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838</w:t>
      </w:r>
      <w:r>
        <w:rPr>
          <w:rFonts w:ascii="Times New Roman" w:hAnsi="Times New Roman"/>
          <w:sz w:val="24"/>
        </w:rPr>
        <w:t xml:space="preserve"> €</w:t>
      </w:r>
      <w:r>
        <w:rPr>
          <w:rFonts w:ascii="Times New Roman" w:hAnsi="Times New Roman"/>
          <w:sz w:val="24"/>
        </w:rPr>
        <w:t>. P</w:t>
      </w:r>
      <w:r>
        <w:rPr>
          <w:rFonts w:ascii="Times New Roman" w:hAnsi="Times New Roman"/>
          <w:sz w:val="24"/>
        </w:rPr>
        <w:t xml:space="preserve">lanirano je </w:t>
      </w:r>
      <w:r>
        <w:rPr>
          <w:rFonts w:ascii="Times New Roman" w:hAnsi="Times New Roman"/>
          <w:sz w:val="24"/>
        </w:rPr>
        <w:t>više</w:t>
      </w:r>
      <w:r>
        <w:rPr>
          <w:rFonts w:ascii="Times New Roman" w:hAnsi="Times New Roman"/>
          <w:sz w:val="24"/>
        </w:rPr>
        <w:t xml:space="preserve"> prihoda u odnosu na realizaciju mentorske nastave za akademsku godinu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bookmarkEnd w:id="1"/>
      <w:r>
        <w:rPr>
          <w:rFonts w:ascii="Times New Roman" w:hAnsi="Times New Roman"/>
          <w:sz w:val="24"/>
        </w:rPr>
        <w:t xml:space="preserve"> </w:t>
      </w: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Projekcije plana za 2025. i 2026. godinu su na razini plana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godinu.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Ostali izvori – 31, 43, 61, 71, 51, 52</w:t>
      </w: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bookmarkStart w:id="2" w:name="_Hlk115338654"/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z w:val="24"/>
        </w:rPr>
        <w:t xml:space="preserve"> iz izvora</w:t>
      </w:r>
      <w:r>
        <w:rPr>
          <w:rFonts w:ascii="Times New Roman" w:hAnsi="Times New Roman"/>
          <w:sz w:val="24"/>
        </w:rPr>
        <w:t xml:space="preserve"> 31, 43, 61 i 71</w:t>
      </w:r>
      <w:r>
        <w:rPr>
          <w:rFonts w:ascii="Times New Roman" w:hAnsi="Times New Roman"/>
          <w:sz w:val="24"/>
        </w:rPr>
        <w:t xml:space="preserve"> planirani su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z w:val="24"/>
        </w:rPr>
        <w:t xml:space="preserve"> u</w:t>
      </w:r>
      <w:r>
        <w:rPr>
          <w:rFonts w:ascii="Times New Roman" w:hAnsi="Times New Roman"/>
          <w:sz w:val="24"/>
        </w:rPr>
        <w:t xml:space="preserve"> skladu s realizacijom tekuće godine</w:t>
      </w:r>
      <w:r>
        <w:rPr>
          <w:rFonts w:ascii="Times New Roman" w:hAnsi="Times New Roman"/>
          <w:sz w:val="24"/>
        </w:rPr>
        <w:t xml:space="preserve"> te planom iz prethodne godine (projekcije za 2025.g.)</w:t>
      </w:r>
      <w:r>
        <w:rPr>
          <w:rFonts w:ascii="Times New Roman" w:hAnsi="Times New Roman"/>
          <w:sz w:val="24"/>
        </w:rPr>
        <w:t>. P</w:t>
      </w:r>
      <w:r>
        <w:rPr>
          <w:rFonts w:ascii="Times New Roman" w:hAnsi="Times New Roman"/>
          <w:sz w:val="24"/>
        </w:rPr>
        <w:t xml:space="preserve">rojekcije plana </w:t>
      </w:r>
      <w:r>
        <w:rPr>
          <w:rFonts w:ascii="Times New Roman" w:hAnsi="Times New Roman"/>
          <w:sz w:val="24"/>
        </w:rPr>
        <w:t>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i 2027. godinu ostaju na istoj razini kao i 2025. g. Dodatno obrazloženje nalazi se u obrazloženju rashoda.</w:t>
      </w:r>
      <w:bookmarkEnd w:id="2"/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RASHODI I IZDACI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Uku</w:t>
      </w:r>
      <w:r>
        <w:rPr>
          <w:rFonts w:ascii="Times New Roman" w:hAnsi="Times New Roman"/>
          <w:sz w:val="24"/>
        </w:rPr>
        <w:t>pni planirani rashodi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godinu iznose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317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154</w:t>
      </w:r>
      <w:r>
        <w:rPr>
          <w:rFonts w:ascii="Times New Roman" w:hAnsi="Times New Roman"/>
          <w:sz w:val="24"/>
        </w:rPr>
        <w:t xml:space="preserve"> € od čega se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196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440</w:t>
      </w:r>
      <w:r>
        <w:rPr>
          <w:rFonts w:ascii="Times New Roman" w:hAnsi="Times New Roman"/>
          <w:sz w:val="24"/>
        </w:rPr>
        <w:t xml:space="preserve"> € odnosi na  rashode poslovanja, a </w:t>
      </w:r>
      <w:r>
        <w:rPr>
          <w:rFonts w:ascii="Times New Roman" w:hAnsi="Times New Roman"/>
          <w:sz w:val="24"/>
        </w:rPr>
        <w:t>120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714</w:t>
      </w:r>
      <w:r>
        <w:rPr>
          <w:rFonts w:ascii="Times New Roman" w:hAnsi="Times New Roman"/>
          <w:sz w:val="24"/>
        </w:rPr>
        <w:t xml:space="preserve"> € rashoda se planira za nefinancijsku imovinu. 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Izvor 11</w:t>
      </w: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koji se financiraju iz izvora 11 planirani su za 202</w:t>
      </w:r>
      <w:r w:rsidR="0026363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godinu u ukupn</w:t>
      </w:r>
      <w:r>
        <w:rPr>
          <w:rFonts w:ascii="Times New Roman" w:hAnsi="Times New Roman"/>
          <w:sz w:val="24"/>
        </w:rPr>
        <w:t>om iznosu od 5.</w:t>
      </w:r>
      <w:r w:rsidR="00263634">
        <w:rPr>
          <w:rFonts w:ascii="Times New Roman" w:hAnsi="Times New Roman"/>
          <w:sz w:val="24"/>
        </w:rPr>
        <w:t>945.063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€ u skladu sa zadanim limitima dostavljenima od strane Ministarstva znanosti i obrazovanja odnosno Sveučilišta u Zagrebu. 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Rashodi za stavke redovne djelatnosti iznose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263634">
        <w:rPr>
          <w:rFonts w:ascii="Times New Roman" w:hAnsi="Times New Roman"/>
          <w:sz w:val="24"/>
        </w:rPr>
        <w:t>161.227</w:t>
      </w:r>
      <w:r>
        <w:rPr>
          <w:rFonts w:ascii="Times New Roman" w:hAnsi="Times New Roman"/>
          <w:sz w:val="24"/>
        </w:rPr>
        <w:t xml:space="preserve"> €, te su dobiveni na način da su ukupni rashodi namijenjeni za plaće</w:t>
      </w:r>
      <w:r>
        <w:rPr>
          <w:rFonts w:ascii="Times New Roman" w:hAnsi="Times New Roman"/>
          <w:sz w:val="24"/>
        </w:rPr>
        <w:t xml:space="preserve"> zaposlenika i materijalne rashode</w:t>
      </w:r>
      <w:r>
        <w:rPr>
          <w:rFonts w:ascii="Times New Roman" w:hAnsi="Times New Roman"/>
          <w:sz w:val="24"/>
        </w:rPr>
        <w:t xml:space="preserve"> uvećani</w:t>
      </w:r>
      <w:r>
        <w:rPr>
          <w:rFonts w:ascii="Times New Roman" w:hAnsi="Times New Roman"/>
          <w:sz w:val="24"/>
        </w:rPr>
        <w:t xml:space="preserve"> u skladu s dostavljenim limitima od strane Sveučilišta</w:t>
      </w:r>
      <w:r>
        <w:rPr>
          <w:rFonts w:ascii="Times New Roman" w:hAnsi="Times New Roman"/>
          <w:sz w:val="24"/>
        </w:rPr>
        <w:t>. Projekcij</w:t>
      </w:r>
      <w:r w:rsidR="00FA0771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plana </w:t>
      </w:r>
      <w:r>
        <w:rPr>
          <w:rFonts w:ascii="Times New Roman" w:hAnsi="Times New Roman"/>
          <w:sz w:val="24"/>
        </w:rPr>
        <w:t xml:space="preserve">za 2026. i 2027. godinu </w:t>
      </w:r>
      <w:r w:rsidR="00FA0771">
        <w:rPr>
          <w:rFonts w:ascii="Times New Roman" w:hAnsi="Times New Roman"/>
          <w:sz w:val="24"/>
        </w:rPr>
        <w:t>povećane su za 0,49% u odnosu na prethodnu godinu.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Rashodi za programsko financiranje javnih visokih učilišta iznose </w:t>
      </w:r>
      <w:r>
        <w:rPr>
          <w:rFonts w:ascii="Times New Roman" w:hAnsi="Times New Roman"/>
          <w:sz w:val="24"/>
        </w:rPr>
        <w:t>772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998</w:t>
      </w:r>
      <w:r>
        <w:rPr>
          <w:rFonts w:ascii="Times New Roman" w:hAnsi="Times New Roman"/>
          <w:sz w:val="24"/>
        </w:rPr>
        <w:t xml:space="preserve"> € te su </w:t>
      </w:r>
      <w:r>
        <w:rPr>
          <w:rFonts w:ascii="Times New Roman" w:hAnsi="Times New Roman"/>
          <w:sz w:val="24"/>
        </w:rPr>
        <w:t xml:space="preserve">temeljem limita Sveučilišta </w:t>
      </w:r>
      <w:r>
        <w:rPr>
          <w:rFonts w:ascii="Times New Roman" w:hAnsi="Times New Roman"/>
          <w:sz w:val="24"/>
        </w:rPr>
        <w:t>planirani</w:t>
      </w:r>
      <w:r>
        <w:rPr>
          <w:rFonts w:ascii="Times New Roman" w:hAnsi="Times New Roman"/>
          <w:sz w:val="24"/>
        </w:rPr>
        <w:t xml:space="preserve"> manje u odnosu na plan 2024. g. za 1%, ali više u odnosu na realizaciju 2023. g.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rojekcije plana 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i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godinu</w:t>
      </w:r>
      <w:r>
        <w:rPr>
          <w:rFonts w:ascii="Times New Roman" w:hAnsi="Times New Roman"/>
          <w:sz w:val="24"/>
        </w:rPr>
        <w:t xml:space="preserve"> </w:t>
      </w:r>
      <w:r w:rsidR="00FA0771">
        <w:rPr>
          <w:rFonts w:ascii="Times New Roman" w:hAnsi="Times New Roman"/>
          <w:sz w:val="24"/>
        </w:rPr>
        <w:t>su povećane za 3,19% odnosno 0,02%.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za progra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e vježbaonica visokih učilišta planiraju se na razini od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838</w:t>
      </w:r>
      <w:r>
        <w:rPr>
          <w:rFonts w:ascii="Times New Roman" w:hAnsi="Times New Roman"/>
          <w:sz w:val="24"/>
        </w:rPr>
        <w:t xml:space="preserve"> €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lanirano je </w:t>
      </w:r>
      <w:r>
        <w:rPr>
          <w:rFonts w:ascii="Times New Roman" w:hAnsi="Times New Roman"/>
          <w:sz w:val="24"/>
        </w:rPr>
        <w:t>više u odnosu na 2024. g., odnosno u skladu s rashodima za</w:t>
      </w:r>
      <w:r>
        <w:rPr>
          <w:rFonts w:ascii="Times New Roman" w:hAnsi="Times New Roman"/>
          <w:sz w:val="24"/>
        </w:rPr>
        <w:t xml:space="preserve"> akademsku godinu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uz dodatno povećanje rashoda u odnosu na realizaciju </w:t>
      </w:r>
      <w:r>
        <w:rPr>
          <w:rFonts w:ascii="Times New Roman" w:hAnsi="Times New Roman"/>
          <w:sz w:val="24"/>
        </w:rPr>
        <w:t>navedene akademske godine.</w:t>
      </w: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Projekcije plana 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i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godinu su na razini plana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godinu.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Od rashoda za financiranje redovne djelatnosti najviše se planira za plaću, prijevoz te ostale rashode zaposlenika. Rashodi za programsko financiranje </w:t>
      </w:r>
      <w:r>
        <w:rPr>
          <w:rFonts w:ascii="Times New Roman" w:hAnsi="Times New Roman"/>
          <w:sz w:val="24"/>
        </w:rPr>
        <w:t>najviše se odnose na troškove prekovremenog rada, troškove energije, službena putovanja, uredsku opremu i namještaj te intelektualne usluge.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Ostali izvori – 31, 43, 61, 71, 51, 52</w:t>
      </w: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iz izvora</w:t>
      </w:r>
      <w:r>
        <w:rPr>
          <w:rFonts w:ascii="Times New Roman" w:hAnsi="Times New Roman"/>
          <w:sz w:val="24"/>
        </w:rPr>
        <w:t xml:space="preserve"> 31, 43, 61 i 71</w:t>
      </w:r>
      <w:r>
        <w:rPr>
          <w:rFonts w:ascii="Times New Roman" w:hAnsi="Times New Roman"/>
          <w:sz w:val="24"/>
        </w:rPr>
        <w:t xml:space="preserve"> planirani su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godinu </w:t>
      </w:r>
      <w:r>
        <w:rPr>
          <w:rFonts w:ascii="Times New Roman" w:hAnsi="Times New Roman"/>
          <w:sz w:val="24"/>
        </w:rPr>
        <w:t xml:space="preserve">u </w:t>
      </w:r>
      <w:r>
        <w:rPr>
          <w:rFonts w:ascii="Times New Roman" w:hAnsi="Times New Roman"/>
          <w:sz w:val="24"/>
        </w:rPr>
        <w:t>skladu s</w:t>
      </w:r>
      <w:r>
        <w:rPr>
          <w:rFonts w:ascii="Times New Roman" w:hAnsi="Times New Roman"/>
          <w:sz w:val="24"/>
        </w:rPr>
        <w:t xml:space="preserve"> realizacijom tekuće godine</w:t>
      </w:r>
      <w:r>
        <w:rPr>
          <w:rFonts w:ascii="Times New Roman" w:hAnsi="Times New Roman"/>
          <w:sz w:val="24"/>
        </w:rPr>
        <w:t xml:space="preserve"> te planom iz prethodne godine (projekcije za 2025.g.)</w:t>
      </w:r>
      <w:r>
        <w:rPr>
          <w:rFonts w:ascii="Times New Roman" w:hAnsi="Times New Roman"/>
          <w:sz w:val="24"/>
        </w:rPr>
        <w:t>. P</w:t>
      </w:r>
      <w:r>
        <w:rPr>
          <w:rFonts w:ascii="Times New Roman" w:hAnsi="Times New Roman"/>
          <w:sz w:val="24"/>
        </w:rPr>
        <w:t xml:space="preserve">rojekcije plana </w:t>
      </w:r>
      <w:r>
        <w:rPr>
          <w:rFonts w:ascii="Times New Roman" w:hAnsi="Times New Roman"/>
          <w:sz w:val="24"/>
        </w:rPr>
        <w:t>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i 2027. godinu ostaju na istoj razini kao i 2025. g. Izvori 51 i 52 uglavnom se odnose na EU projekte i njihovo planiranje ovisi o pojedinačnim planovima projekata te o dostavljenim podacima o planiranim projektima ako se sredstva doznačuju od strane prora</w:t>
      </w:r>
      <w:r>
        <w:rPr>
          <w:rFonts w:ascii="Times New Roman" w:hAnsi="Times New Roman"/>
          <w:sz w:val="24"/>
        </w:rPr>
        <w:t xml:space="preserve">čunskog korisnika (Sveučilište, Zaklada). </w:t>
      </w:r>
      <w:r>
        <w:rPr>
          <w:rFonts w:ascii="Times New Roman" w:hAnsi="Times New Roman"/>
          <w:sz w:val="24"/>
        </w:rPr>
        <w:t xml:space="preserve"> 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Ukupni rashodi iz izvora 31 iznose 6</w:t>
      </w:r>
      <w:r>
        <w:rPr>
          <w:rFonts w:ascii="Times New Roman" w:hAnsi="Times New Roman"/>
          <w:sz w:val="24"/>
        </w:rPr>
        <w:t>34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860</w:t>
      </w:r>
      <w:r>
        <w:rPr>
          <w:rFonts w:ascii="Times New Roman" w:hAnsi="Times New Roman"/>
          <w:sz w:val="24"/>
        </w:rPr>
        <w:t xml:space="preserve"> €, iz izvora 43 </w:t>
      </w:r>
      <w:r>
        <w:rPr>
          <w:rFonts w:ascii="Times New Roman" w:hAnsi="Times New Roman"/>
          <w:sz w:val="24"/>
        </w:rPr>
        <w:t>910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557</w:t>
      </w:r>
      <w:r>
        <w:rPr>
          <w:rFonts w:ascii="Times New Roman" w:hAnsi="Times New Roman"/>
          <w:sz w:val="24"/>
        </w:rPr>
        <w:t xml:space="preserve"> €, iz izvora 61 </w:t>
      </w:r>
      <w:r>
        <w:rPr>
          <w:rFonts w:ascii="Times New Roman" w:hAnsi="Times New Roman"/>
          <w:sz w:val="24"/>
        </w:rPr>
        <w:t>53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686</w:t>
      </w:r>
      <w:r>
        <w:rPr>
          <w:rFonts w:ascii="Times New Roman" w:hAnsi="Times New Roman"/>
          <w:sz w:val="24"/>
        </w:rPr>
        <w:t xml:space="preserve"> €, a iz izvora 71 35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€. Iz navedenih izvora najviše se pokrivaju troškovi redovnog rada zaposlenika i njihovih materijal</w:t>
      </w:r>
      <w:r>
        <w:rPr>
          <w:rFonts w:ascii="Times New Roman" w:hAnsi="Times New Roman"/>
          <w:sz w:val="24"/>
        </w:rPr>
        <w:t xml:space="preserve">nih troškova za one zaposlenike koji ne primaju plaću iz Centralnog obračuna plaća, a postoji potreba za njihovim radom za nesmetano provođenje svih aktivnosti Fakulteta; troškovi energije, intelektualne usluge, nabava uredske opreme i namještaja, dodatna </w:t>
      </w:r>
      <w:r>
        <w:rPr>
          <w:rFonts w:ascii="Times New Roman" w:hAnsi="Times New Roman"/>
          <w:sz w:val="24"/>
        </w:rPr>
        <w:t>ulaganja na građevinskim objektima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 ostala prava (ulaganja na tuđoj imovini radi prava korištenja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  Govoreći o kapitalnim rashodima, postoji stalna potreba ulaganja u r</w:t>
      </w:r>
      <w:r>
        <w:rPr>
          <w:rFonts w:ascii="Times New Roman" w:hAnsi="Times New Roman"/>
          <w:sz w:val="24"/>
          <w:lang w:val="zh-CN"/>
        </w:rPr>
        <w:t>ačunaln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  <w:lang w:val="zh-CN"/>
        </w:rPr>
        <w:t xml:space="preserve"> oprem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  <w:lang w:val="zh-CN"/>
        </w:rPr>
        <w:t xml:space="preserve"> zbog brzog zastarijevanja i trošenja </w:t>
      </w:r>
      <w:r>
        <w:rPr>
          <w:rFonts w:ascii="Times New Roman" w:hAnsi="Times New Roman"/>
          <w:sz w:val="24"/>
        </w:rPr>
        <w:t>iste, ulaganja u software te sta</w:t>
      </w:r>
      <w:r>
        <w:rPr>
          <w:rFonts w:ascii="Times New Roman" w:hAnsi="Times New Roman"/>
          <w:sz w:val="24"/>
        </w:rPr>
        <w:t>lna i</w:t>
      </w:r>
      <w:r>
        <w:rPr>
          <w:rFonts w:ascii="Times New Roman" w:hAnsi="Times New Roman"/>
          <w:sz w:val="24"/>
          <w:lang w:val="zh-CN"/>
        </w:rPr>
        <w:t xml:space="preserve">nvesticijska ulaganja </w:t>
      </w:r>
      <w:r>
        <w:rPr>
          <w:rFonts w:ascii="Times New Roman" w:hAnsi="Times New Roman"/>
          <w:sz w:val="24"/>
        </w:rPr>
        <w:t xml:space="preserve">(ulaganje u postojeće zgrade Fakulteta).  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  <w:lang w:val="it-IT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z w:val="24"/>
        </w:rPr>
        <w:t xml:space="preserve"> iz</w:t>
      </w:r>
      <w:r>
        <w:rPr>
          <w:rFonts w:ascii="Times New Roman" w:hAnsi="Times New Roman"/>
          <w:sz w:val="24"/>
        </w:rPr>
        <w:t xml:space="preserve"> izvora 51 i 52 planirani su na temelju postojećih projekata te novih projekata koji će započeti krajem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godine odnosno početkom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godine. Planirani rashodi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z w:val="24"/>
        </w:rPr>
        <w:t xml:space="preserve"> izvora 51 iznose 8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.3</w:t>
      </w:r>
      <w:r>
        <w:rPr>
          <w:rFonts w:ascii="Times New Roman" w:hAnsi="Times New Roman"/>
          <w:sz w:val="24"/>
        </w:rPr>
        <w:t>98</w:t>
      </w:r>
      <w:r>
        <w:rPr>
          <w:rFonts w:ascii="Times New Roman" w:hAnsi="Times New Roman"/>
          <w:sz w:val="24"/>
        </w:rPr>
        <w:t xml:space="preserve"> €, a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z w:val="24"/>
        </w:rPr>
        <w:t xml:space="preserve"> izvora 52 </w:t>
      </w:r>
      <w:r>
        <w:rPr>
          <w:rFonts w:ascii="Times New Roman" w:hAnsi="Times New Roman"/>
          <w:sz w:val="24"/>
        </w:rPr>
        <w:t>636</w:t>
      </w:r>
      <w:r>
        <w:rPr>
          <w:rFonts w:ascii="Times New Roman" w:hAnsi="Times New Roman"/>
          <w:sz w:val="24"/>
        </w:rPr>
        <w:t>.1</w:t>
      </w:r>
      <w:r>
        <w:rPr>
          <w:rFonts w:ascii="Times New Roman" w:hAnsi="Times New Roman"/>
          <w:sz w:val="24"/>
        </w:rPr>
        <w:t>45</w:t>
      </w:r>
      <w:r>
        <w:rPr>
          <w:rFonts w:ascii="Times New Roman" w:hAnsi="Times New Roman"/>
          <w:sz w:val="24"/>
        </w:rPr>
        <w:t xml:space="preserve"> €</w:t>
      </w:r>
      <w:r>
        <w:rPr>
          <w:rFonts w:ascii="Times New Roman" w:hAnsi="Times New Roman"/>
          <w:sz w:val="24"/>
        </w:rPr>
        <w:t xml:space="preserve"> (uključujući i plaće </w:t>
      </w:r>
      <w:proofErr w:type="spellStart"/>
      <w:r>
        <w:rPr>
          <w:rFonts w:ascii="Times New Roman" w:hAnsi="Times New Roman"/>
          <w:sz w:val="24"/>
        </w:rPr>
        <w:t>doktoranada</w:t>
      </w:r>
      <w:proofErr w:type="spellEnd"/>
      <w:r>
        <w:rPr>
          <w:rFonts w:ascii="Times New Roman" w:hAnsi="Times New Roman"/>
          <w:sz w:val="24"/>
        </w:rPr>
        <w:t xml:space="preserve"> te troškove doktorskog studija - HRZZ)</w:t>
      </w:r>
      <w:r>
        <w:rPr>
          <w:rFonts w:ascii="Times New Roman" w:hAnsi="Times New Roman"/>
          <w:sz w:val="24"/>
        </w:rPr>
        <w:t>. Projekcije planova za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i 202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su znatno manje u odnosu na plan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godinu iz razloga što </w:t>
      </w:r>
      <w:r>
        <w:rPr>
          <w:rFonts w:ascii="Times New Roman" w:hAnsi="Times New Roman"/>
          <w:sz w:val="24"/>
        </w:rPr>
        <w:t>jedan dio</w:t>
      </w:r>
      <w:r>
        <w:rPr>
          <w:rFonts w:ascii="Times New Roman" w:hAnsi="Times New Roman"/>
          <w:sz w:val="24"/>
        </w:rPr>
        <w:t xml:space="preserve"> projekata završava u</w:t>
      </w:r>
      <w:r>
        <w:rPr>
          <w:rFonts w:ascii="Times New Roman" w:hAnsi="Times New Roman"/>
          <w:sz w:val="24"/>
        </w:rPr>
        <w:t xml:space="preserve"> navedenom razdoblju</w:t>
      </w:r>
      <w:r>
        <w:rPr>
          <w:rFonts w:ascii="Times New Roman" w:hAnsi="Times New Roman"/>
          <w:sz w:val="24"/>
        </w:rPr>
        <w:t>, a nove projekte nije moguće planirati obzirom da se isti planiraju analitički po nazivima projekata.</w:t>
      </w:r>
      <w:r>
        <w:rPr>
          <w:rFonts w:ascii="Times New Roman" w:hAnsi="Times New Roman"/>
          <w:sz w:val="24"/>
        </w:rPr>
        <w:t xml:space="preserve"> Većina rashoda se odnosi na pokrivanje plaća zaposlenika na projektima, troškove službenih putovanja, troškove kotizacija, intelektua</w:t>
      </w:r>
      <w:r>
        <w:rPr>
          <w:rFonts w:ascii="Times New Roman" w:hAnsi="Times New Roman"/>
          <w:sz w:val="24"/>
        </w:rPr>
        <w:t>lne usluge, troškove nabave uredskog materijala te opreme.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PRIJENOS SREDSTAVA IZ PRETHODNE I U SLJEDEĆU GODINU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planu za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godinu prijenos sredstava iz prethodne godine</w:t>
      </w:r>
      <w:r>
        <w:rPr>
          <w:rFonts w:ascii="Times New Roman" w:hAnsi="Times New Roman"/>
          <w:sz w:val="24"/>
        </w:rPr>
        <w:t xml:space="preserve"> (donos)</w:t>
      </w:r>
      <w:r>
        <w:rPr>
          <w:rFonts w:ascii="Times New Roman" w:hAnsi="Times New Roman"/>
          <w:sz w:val="24"/>
        </w:rPr>
        <w:t xml:space="preserve"> planira se na razini od </w:t>
      </w:r>
      <w:r>
        <w:rPr>
          <w:rFonts w:ascii="Times New Roman" w:hAnsi="Times New Roman"/>
          <w:sz w:val="24"/>
        </w:rPr>
        <w:t>599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255</w:t>
      </w:r>
      <w:r>
        <w:rPr>
          <w:rFonts w:ascii="Times New Roman" w:hAnsi="Times New Roman"/>
          <w:sz w:val="24"/>
        </w:rPr>
        <w:t xml:space="preserve"> €</w:t>
      </w:r>
      <w:r>
        <w:rPr>
          <w:rFonts w:ascii="Times New Roman" w:hAnsi="Times New Roman"/>
          <w:sz w:val="24"/>
        </w:rPr>
        <w:t xml:space="preserve"> od čega na izvoru 31 171.216 </w:t>
      </w:r>
      <w:r>
        <w:rPr>
          <w:rFonts w:ascii="Times New Roman" w:hAnsi="Times New Roman"/>
          <w:sz w:val="24"/>
        </w:rPr>
        <w:t xml:space="preserve"> €</w:t>
      </w:r>
      <w:r>
        <w:rPr>
          <w:rFonts w:ascii="Times New Roman" w:hAnsi="Times New Roman"/>
          <w:sz w:val="24"/>
        </w:rPr>
        <w:t xml:space="preserve"> te na izvoru 43 428.039 </w:t>
      </w:r>
      <w:r>
        <w:rPr>
          <w:rFonts w:ascii="Times New Roman" w:hAnsi="Times New Roman"/>
          <w:sz w:val="24"/>
        </w:rPr>
        <w:t xml:space="preserve"> €</w:t>
      </w:r>
      <w:r>
        <w:rPr>
          <w:rFonts w:ascii="Times New Roman" w:hAnsi="Times New Roman"/>
          <w:sz w:val="24"/>
        </w:rPr>
        <w:t>. Isti iznosi planirani su za prijenos u narednu 2026. godinu. Radi se o sredstvima pretežno na redovnom računu Fakulteta, a za projektnu aktivnost planirani su uravnoteženi iznosi prihoda i rashoda iako na pojedinim projektima d</w:t>
      </w:r>
      <w:r>
        <w:rPr>
          <w:rFonts w:ascii="Times New Roman" w:hAnsi="Times New Roman"/>
          <w:sz w:val="24"/>
        </w:rPr>
        <w:t xml:space="preserve">olazi do stanja neutrošenih sredstava ili, s druge strane, </w:t>
      </w:r>
      <w:proofErr w:type="spellStart"/>
      <w:r>
        <w:rPr>
          <w:rFonts w:ascii="Times New Roman" w:hAnsi="Times New Roman"/>
          <w:sz w:val="24"/>
        </w:rPr>
        <w:t>predfinanciranja</w:t>
      </w:r>
      <w:proofErr w:type="spellEnd"/>
      <w:r>
        <w:rPr>
          <w:rFonts w:ascii="Times New Roman" w:hAnsi="Times New Roman"/>
          <w:sz w:val="24"/>
        </w:rPr>
        <w:t xml:space="preserve"> unutar kalendarske godine.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UKUPNE I DOSPJELE OBVEZE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priloženoj tablici prikazano je stanje ukupnih i dospjelih obveza na dan 31. prosinca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godine te stanje ukupni</w:t>
      </w:r>
      <w:r>
        <w:rPr>
          <w:rFonts w:ascii="Times New Roman" w:hAnsi="Times New Roman"/>
          <w:sz w:val="24"/>
        </w:rPr>
        <w:t>h i dospjelih obveza na dan 30. lipnja tekuće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godine.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679"/>
      </w:tblGrid>
      <w:tr w:rsidR="00D947E9">
        <w:trPr>
          <w:trHeight w:val="255"/>
        </w:trPr>
        <w:tc>
          <w:tcPr>
            <w:tcW w:w="2122" w:type="dxa"/>
          </w:tcPr>
          <w:p w:rsidR="00D947E9" w:rsidRDefault="00D947E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D947E9" w:rsidRDefault="00410D3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Stanje obveza na dan 31.12.202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679" w:type="dxa"/>
          </w:tcPr>
          <w:p w:rsidR="00D947E9" w:rsidRDefault="00410D3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Stanje obveza na dan 30.06.202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947E9">
        <w:tc>
          <w:tcPr>
            <w:tcW w:w="2122" w:type="dxa"/>
          </w:tcPr>
          <w:p w:rsidR="00D947E9" w:rsidRDefault="00410D3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Ukupne obveze</w:t>
            </w:r>
          </w:p>
        </w:tc>
        <w:tc>
          <w:tcPr>
            <w:tcW w:w="3543" w:type="dxa"/>
          </w:tcPr>
          <w:p w:rsidR="00D947E9" w:rsidRDefault="00410D3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539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034</w:t>
            </w:r>
            <w:r>
              <w:rPr>
                <w:rFonts w:ascii="Times New Roman" w:hAnsi="Times New Roman"/>
                <w:sz w:val="24"/>
              </w:rPr>
              <w:t xml:space="preserve"> €</w:t>
            </w:r>
          </w:p>
        </w:tc>
        <w:tc>
          <w:tcPr>
            <w:tcW w:w="3679" w:type="dxa"/>
          </w:tcPr>
          <w:p w:rsidR="00D947E9" w:rsidRDefault="00410D3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748</w:t>
            </w:r>
          </w:p>
        </w:tc>
      </w:tr>
      <w:tr w:rsidR="00D947E9">
        <w:tc>
          <w:tcPr>
            <w:tcW w:w="2122" w:type="dxa"/>
          </w:tcPr>
          <w:p w:rsidR="00D947E9" w:rsidRDefault="00410D3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Dospjele obveze</w:t>
            </w:r>
          </w:p>
        </w:tc>
        <w:tc>
          <w:tcPr>
            <w:tcW w:w="3543" w:type="dxa"/>
          </w:tcPr>
          <w:p w:rsidR="00D947E9" w:rsidRDefault="00410D3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.9</w:t>
            </w: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 xml:space="preserve"> €</w:t>
            </w:r>
          </w:p>
        </w:tc>
        <w:tc>
          <w:tcPr>
            <w:tcW w:w="3679" w:type="dxa"/>
          </w:tcPr>
          <w:p w:rsidR="00D947E9" w:rsidRDefault="00410D3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572</w:t>
            </w:r>
          </w:p>
        </w:tc>
      </w:tr>
    </w:tbl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Varaždinu, </w:t>
      </w:r>
      <w:r w:rsidR="00FA0771">
        <w:rPr>
          <w:rFonts w:ascii="Times New Roman" w:hAnsi="Times New Roman"/>
          <w:sz w:val="24"/>
        </w:rPr>
        <w:t>20. prosinca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godine</w:t>
      </w: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D947E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410D3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Voditeljica računovodstva:                                  </w:t>
      </w:r>
      <w:bookmarkStart w:id="3" w:name="_GoBack"/>
      <w:bookmarkEnd w:id="3"/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DEKANICA:</w:t>
      </w:r>
    </w:p>
    <w:p w:rsidR="00FA0771" w:rsidRDefault="00FA0771" w:rsidP="00FA0771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947E9" w:rsidRDefault="00FA0771" w:rsidP="00FA0771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Matea </w:t>
      </w:r>
      <w:proofErr w:type="spellStart"/>
      <w:r>
        <w:rPr>
          <w:rFonts w:ascii="Times New Roman" w:hAnsi="Times New Roman"/>
          <w:sz w:val="24"/>
        </w:rPr>
        <w:t>Šoštarec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mag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oec</w:t>
      </w:r>
      <w:proofErr w:type="spellEnd"/>
      <w:r>
        <w:rPr>
          <w:rFonts w:ascii="Times New Roman" w:hAnsi="Times New Roman"/>
          <w:sz w:val="24"/>
        </w:rPr>
        <w:t>.</w:t>
      </w:r>
      <w:r w:rsidR="00410D3A">
        <w:rPr>
          <w:rFonts w:ascii="Times New Roman" w:hAnsi="Times New Roman"/>
          <w:sz w:val="24"/>
        </w:rPr>
        <w:t xml:space="preserve">  </w:t>
      </w:r>
      <w:r w:rsidR="00410D3A">
        <w:rPr>
          <w:rFonts w:ascii="Times New Roman" w:hAnsi="Times New Roman"/>
          <w:sz w:val="24"/>
        </w:rPr>
        <w:t xml:space="preserve">          </w:t>
      </w:r>
      <w:r w:rsidR="00410D3A">
        <w:rPr>
          <w:rFonts w:ascii="Times New Roman" w:hAnsi="Times New Roman"/>
          <w:sz w:val="24"/>
        </w:rPr>
        <w:t xml:space="preserve">   </w:t>
      </w:r>
      <w:r w:rsidR="00410D3A">
        <w:rPr>
          <w:rFonts w:ascii="Times New Roman" w:hAnsi="Times New Roman"/>
          <w:sz w:val="24"/>
        </w:rPr>
        <w:t xml:space="preserve">                </w:t>
      </w:r>
      <w:r w:rsidR="00410D3A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</w:t>
      </w:r>
      <w:r w:rsidR="00410D3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p</w:t>
      </w:r>
      <w:r w:rsidR="00410D3A">
        <w:rPr>
          <w:rFonts w:ascii="Times New Roman" w:hAnsi="Times New Roman"/>
          <w:sz w:val="24"/>
        </w:rPr>
        <w:t xml:space="preserve">rof. dr. </w:t>
      </w:r>
      <w:proofErr w:type="spellStart"/>
      <w:r w:rsidR="00410D3A">
        <w:rPr>
          <w:rFonts w:ascii="Times New Roman" w:hAnsi="Times New Roman"/>
          <w:sz w:val="24"/>
        </w:rPr>
        <w:t>sc</w:t>
      </w:r>
      <w:proofErr w:type="spellEnd"/>
      <w:r w:rsidR="00410D3A">
        <w:rPr>
          <w:rFonts w:ascii="Times New Roman" w:hAnsi="Times New Roman"/>
          <w:sz w:val="24"/>
        </w:rPr>
        <w:t>. Marina Klačmer Čalopa</w:t>
      </w:r>
    </w:p>
    <w:p w:rsidR="00D947E9" w:rsidRDefault="00D947E9">
      <w:pPr>
        <w:spacing w:after="0" w:line="276" w:lineRule="auto"/>
        <w:jc w:val="both"/>
        <w:rPr>
          <w:rFonts w:ascii="Trebuchet MS" w:hAnsi="Trebuchet MS"/>
        </w:rPr>
      </w:pPr>
    </w:p>
    <w:p w:rsidR="00D947E9" w:rsidRDefault="00D947E9">
      <w:pPr>
        <w:spacing w:after="0" w:line="276" w:lineRule="auto"/>
        <w:jc w:val="both"/>
        <w:rPr>
          <w:rFonts w:ascii="Trebuchet MS" w:hAnsi="Trebuchet MS"/>
        </w:rPr>
      </w:pPr>
    </w:p>
    <w:p w:rsidR="00D947E9" w:rsidRDefault="00D947E9">
      <w:pPr>
        <w:spacing w:after="0" w:line="276" w:lineRule="auto"/>
        <w:rPr>
          <w:rFonts w:ascii="Trebuchet MS" w:hAnsi="Trebuchet MS"/>
          <w:sz w:val="24"/>
          <w:szCs w:val="24"/>
        </w:rPr>
      </w:pPr>
    </w:p>
    <w:sectPr w:rsidR="00D947E9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D3A" w:rsidRDefault="00410D3A">
      <w:pPr>
        <w:spacing w:line="240" w:lineRule="auto"/>
      </w:pPr>
      <w:r>
        <w:separator/>
      </w:r>
    </w:p>
  </w:endnote>
  <w:endnote w:type="continuationSeparator" w:id="0">
    <w:p w:rsidR="00410D3A" w:rsidRDefault="00410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D3A" w:rsidRDefault="00410D3A">
      <w:pPr>
        <w:spacing w:after="0"/>
      </w:pPr>
      <w:r>
        <w:separator/>
      </w:r>
    </w:p>
  </w:footnote>
  <w:footnote w:type="continuationSeparator" w:id="0">
    <w:p w:rsidR="00410D3A" w:rsidRDefault="00410D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E9" w:rsidRDefault="00410D3A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E9" w:rsidRDefault="00410D3A">
    <w:pPr>
      <w:pStyle w:val="Zaglavlje"/>
      <w:ind w:left="-142"/>
    </w:pPr>
    <w:r>
      <w:rPr>
        <w:noProof/>
        <w:lang w:eastAsia="hr-HR"/>
      </w:rPr>
      <w:drawing>
        <wp:inline distT="0" distB="0" distL="0" distR="0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43968"/>
    <w:rsid w:val="00080B06"/>
    <w:rsid w:val="000858F9"/>
    <w:rsid w:val="00097D08"/>
    <w:rsid w:val="000B7775"/>
    <w:rsid w:val="000F0E0E"/>
    <w:rsid w:val="00116597"/>
    <w:rsid w:val="001260E0"/>
    <w:rsid w:val="00133B4A"/>
    <w:rsid w:val="001D16D2"/>
    <w:rsid w:val="001E0293"/>
    <w:rsid w:val="001F544B"/>
    <w:rsid w:val="001F6648"/>
    <w:rsid w:val="002139DF"/>
    <w:rsid w:val="002317CE"/>
    <w:rsid w:val="002414E6"/>
    <w:rsid w:val="00263634"/>
    <w:rsid w:val="002940E4"/>
    <w:rsid w:val="002A7DD8"/>
    <w:rsid w:val="002C35AB"/>
    <w:rsid w:val="002E7F37"/>
    <w:rsid w:val="002F68A0"/>
    <w:rsid w:val="00304907"/>
    <w:rsid w:val="00315CF1"/>
    <w:rsid w:val="0032672B"/>
    <w:rsid w:val="00341FDE"/>
    <w:rsid w:val="00357566"/>
    <w:rsid w:val="003661CA"/>
    <w:rsid w:val="00367536"/>
    <w:rsid w:val="003878D1"/>
    <w:rsid w:val="003A6433"/>
    <w:rsid w:val="003B1AEE"/>
    <w:rsid w:val="00410D3A"/>
    <w:rsid w:val="004137FA"/>
    <w:rsid w:val="00455A4A"/>
    <w:rsid w:val="00486DE1"/>
    <w:rsid w:val="0049340F"/>
    <w:rsid w:val="004D462D"/>
    <w:rsid w:val="00510933"/>
    <w:rsid w:val="0058197B"/>
    <w:rsid w:val="00590CDB"/>
    <w:rsid w:val="005A1102"/>
    <w:rsid w:val="005B1854"/>
    <w:rsid w:val="005C6EEC"/>
    <w:rsid w:val="005E7D27"/>
    <w:rsid w:val="006276FB"/>
    <w:rsid w:val="00630EAE"/>
    <w:rsid w:val="00660983"/>
    <w:rsid w:val="00661EA0"/>
    <w:rsid w:val="00684855"/>
    <w:rsid w:val="006907E2"/>
    <w:rsid w:val="00712A2A"/>
    <w:rsid w:val="0075356F"/>
    <w:rsid w:val="00753D75"/>
    <w:rsid w:val="00776422"/>
    <w:rsid w:val="007A40C0"/>
    <w:rsid w:val="007B7CD7"/>
    <w:rsid w:val="007C58FC"/>
    <w:rsid w:val="0084203E"/>
    <w:rsid w:val="00846AF9"/>
    <w:rsid w:val="008571AB"/>
    <w:rsid w:val="00860857"/>
    <w:rsid w:val="00871116"/>
    <w:rsid w:val="00883837"/>
    <w:rsid w:val="008B11BE"/>
    <w:rsid w:val="008B43D8"/>
    <w:rsid w:val="008C2828"/>
    <w:rsid w:val="008C7F09"/>
    <w:rsid w:val="008D6A02"/>
    <w:rsid w:val="008E6464"/>
    <w:rsid w:val="00905CDD"/>
    <w:rsid w:val="009127B1"/>
    <w:rsid w:val="0092100E"/>
    <w:rsid w:val="00922DE3"/>
    <w:rsid w:val="009327B0"/>
    <w:rsid w:val="009524F7"/>
    <w:rsid w:val="009C6345"/>
    <w:rsid w:val="009F0FEC"/>
    <w:rsid w:val="00A4744B"/>
    <w:rsid w:val="00A56DD9"/>
    <w:rsid w:val="00A61E22"/>
    <w:rsid w:val="00AC6B6B"/>
    <w:rsid w:val="00AD3FFE"/>
    <w:rsid w:val="00B6341A"/>
    <w:rsid w:val="00B804EE"/>
    <w:rsid w:val="00B8111B"/>
    <w:rsid w:val="00B94577"/>
    <w:rsid w:val="00BD0560"/>
    <w:rsid w:val="00BE226A"/>
    <w:rsid w:val="00C629B4"/>
    <w:rsid w:val="00C70B41"/>
    <w:rsid w:val="00C7504A"/>
    <w:rsid w:val="00C8502E"/>
    <w:rsid w:val="00C94D0C"/>
    <w:rsid w:val="00CA761A"/>
    <w:rsid w:val="00CC7C58"/>
    <w:rsid w:val="00CD62E0"/>
    <w:rsid w:val="00CF2F55"/>
    <w:rsid w:val="00CF42A8"/>
    <w:rsid w:val="00D159D4"/>
    <w:rsid w:val="00D20428"/>
    <w:rsid w:val="00D354C9"/>
    <w:rsid w:val="00D57528"/>
    <w:rsid w:val="00D947E9"/>
    <w:rsid w:val="00D977D1"/>
    <w:rsid w:val="00DA14F3"/>
    <w:rsid w:val="00DD665E"/>
    <w:rsid w:val="00E141E4"/>
    <w:rsid w:val="00E23883"/>
    <w:rsid w:val="00E8528A"/>
    <w:rsid w:val="00E9101C"/>
    <w:rsid w:val="00EB73C0"/>
    <w:rsid w:val="00ED7E44"/>
    <w:rsid w:val="00EE26CA"/>
    <w:rsid w:val="00EF33AC"/>
    <w:rsid w:val="00F37799"/>
    <w:rsid w:val="00F43B7D"/>
    <w:rsid w:val="00F707B2"/>
    <w:rsid w:val="00F77852"/>
    <w:rsid w:val="00FA0771"/>
    <w:rsid w:val="00FB3115"/>
    <w:rsid w:val="00FD4A29"/>
    <w:rsid w:val="00FE0EBB"/>
    <w:rsid w:val="00FE2C84"/>
    <w:rsid w:val="07B11B6D"/>
    <w:rsid w:val="0A5E315D"/>
    <w:rsid w:val="0DE01C8F"/>
    <w:rsid w:val="108D227A"/>
    <w:rsid w:val="1F2C385A"/>
    <w:rsid w:val="28AA21E4"/>
    <w:rsid w:val="302D15DC"/>
    <w:rsid w:val="34E84ABD"/>
    <w:rsid w:val="4E5B671E"/>
    <w:rsid w:val="518448F5"/>
    <w:rsid w:val="5A8F263F"/>
    <w:rsid w:val="5D8344FA"/>
    <w:rsid w:val="5DE83114"/>
    <w:rsid w:val="5F32513A"/>
    <w:rsid w:val="60493CDD"/>
    <w:rsid w:val="69A03512"/>
    <w:rsid w:val="6A7C0C3C"/>
    <w:rsid w:val="6A7C14F3"/>
    <w:rsid w:val="6D167319"/>
    <w:rsid w:val="730B67CF"/>
    <w:rsid w:val="7BE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9781"/>
  <w15:docId w15:val="{7EF0E077-363C-4B91-A22A-F40DF0FF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paragraph" w:styleId="Popis">
    <w:name w:val="List"/>
    <w:basedOn w:val="Normal"/>
    <w:uiPriority w:val="99"/>
    <w:unhideWhenUsed/>
    <w:qFormat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qFormat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qFormat/>
    <w:pPr>
      <w:numPr>
        <w:numId w:val="2"/>
      </w:numPr>
      <w:ind w:left="641" w:hanging="357"/>
      <w:contextualSpacing/>
    </w:p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pPr>
      <w:jc w:val="center"/>
    </w:pPr>
  </w:style>
  <w:style w:type="table" w:styleId="Reetkatablice">
    <w:name w:val="Table Grid"/>
    <w:basedOn w:val="Obinatablica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qFormat/>
    <w:rPr>
      <w:rFonts w:ascii="Trebuchet MS" w:eastAsia="Times New Roman" w:hAnsi="Trebuchet MS"/>
      <w:b/>
      <w:bCs/>
      <w:szCs w:val="28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rebuchet MS" w:hAnsi="Trebuchet MS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rebuchet MS" w:hAnsi="Trebuchet MS"/>
      <w:b/>
      <w:color w:val="5F6062"/>
      <w:sz w:val="18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</w:style>
  <w:style w:type="character" w:customStyle="1" w:styleId="ParagraphChar">
    <w:name w:val="Paragraph Char"/>
    <w:basedOn w:val="Zadanifontodlomka"/>
    <w:link w:val="Paragraph"/>
    <w:qFormat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qFormat/>
    <w:rPr>
      <w:b w:val="0"/>
    </w:rPr>
  </w:style>
  <w:style w:type="paragraph" w:customStyle="1" w:styleId="Predmet">
    <w:name w:val="Predmet"/>
    <w:basedOn w:val="Normal"/>
    <w:next w:val="Normal"/>
    <w:qFormat/>
    <w:rPr>
      <w:u w:val="single"/>
    </w:rPr>
  </w:style>
  <w:style w:type="paragraph" w:customStyle="1" w:styleId="Potpis1">
    <w:name w:val="Potpis1"/>
    <w:basedOn w:val="Normal"/>
    <w:next w:val="Normal"/>
    <w:qFormat/>
    <w:pPr>
      <w:spacing w:before="480"/>
      <w:jc w:val="right"/>
    </w:pPr>
  </w:style>
  <w:style w:type="character" w:customStyle="1" w:styleId="apple-converted-space">
    <w:name w:val="apple-converted-space"/>
    <w:qFormat/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51630-9A90-43AA-8E48-4176BCBC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25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Rnk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Matea</cp:lastModifiedBy>
  <cp:revision>11</cp:revision>
  <cp:lastPrinted>2024-11-05T13:23:00Z</cp:lastPrinted>
  <dcterms:created xsi:type="dcterms:W3CDTF">2023-04-05T11:32:00Z</dcterms:created>
  <dcterms:modified xsi:type="dcterms:W3CDTF">2025-01-07T08:37:00Z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C35C7015796F4FE9A03694486C82DC88_13</vt:lpwstr>
  </property>
</Properties>
</file>